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00" w:rsidRPr="002E0645" w:rsidRDefault="00681F16">
      <w:pPr>
        <w:rPr>
          <w:rFonts w:ascii="Times New Roman" w:hAnsi="Times New Roman" w:cs="Times New Roman"/>
          <w:b/>
          <w:sz w:val="24"/>
          <w:szCs w:val="24"/>
        </w:rPr>
      </w:pPr>
      <w:r w:rsidRPr="002E0645">
        <w:rPr>
          <w:rFonts w:ascii="Times New Roman" w:hAnsi="Times New Roman" w:cs="Times New Roman"/>
          <w:b/>
          <w:sz w:val="24"/>
          <w:szCs w:val="24"/>
        </w:rPr>
        <w:t xml:space="preserve">Aufgabe 1 </w:t>
      </w:r>
    </w:p>
    <w:p w:rsidR="00681F16" w:rsidRPr="002E0645" w:rsidRDefault="00681F16" w:rsidP="00681F16">
      <w:pPr>
        <w:rPr>
          <w:rFonts w:ascii="Times New Roman" w:hAnsi="Times New Roman" w:cs="Times New Roman"/>
          <w:sz w:val="24"/>
          <w:szCs w:val="24"/>
        </w:rPr>
      </w:pPr>
      <w:r w:rsidRPr="002E0645">
        <w:rPr>
          <w:rFonts w:ascii="Times New Roman" w:hAnsi="Times New Roman" w:cs="Times New Roman"/>
          <w:sz w:val="24"/>
          <w:szCs w:val="24"/>
        </w:rPr>
        <w:t xml:space="preserve">Geben Sie die Indikatoren aus B1 an, die am besten geeignet sind für die Bestimmung des Äquivalenzpunktes von </w:t>
      </w:r>
      <w:r w:rsidRPr="002E0645">
        <w:rPr>
          <w:rFonts w:ascii="Times New Roman" w:hAnsi="Times New Roman" w:cs="Times New Roman"/>
          <w:b/>
          <w:sz w:val="24"/>
          <w:szCs w:val="24"/>
        </w:rPr>
        <w:t>a)</w:t>
      </w:r>
      <w:r w:rsidRPr="002E0645">
        <w:rPr>
          <w:rFonts w:ascii="Times New Roman" w:hAnsi="Times New Roman" w:cs="Times New Roman"/>
          <w:sz w:val="24"/>
          <w:szCs w:val="24"/>
        </w:rPr>
        <w:t xml:space="preserve"> Kalilauge und </w:t>
      </w:r>
      <w:r w:rsidRPr="002E0645">
        <w:rPr>
          <w:rFonts w:ascii="Times New Roman" w:hAnsi="Times New Roman" w:cs="Times New Roman"/>
          <w:b/>
          <w:sz w:val="24"/>
          <w:szCs w:val="24"/>
        </w:rPr>
        <w:t>b)</w:t>
      </w:r>
      <w:r w:rsidRPr="002E0645">
        <w:rPr>
          <w:rFonts w:ascii="Times New Roman" w:hAnsi="Times New Roman" w:cs="Times New Roman"/>
          <w:sz w:val="24"/>
          <w:szCs w:val="24"/>
        </w:rPr>
        <w:t xml:space="preserve"> Ammoniaklösung der Konzentration c0(B)=0,1 mol/l mit Salzsäure der Konzentration c0(HCl)=1 mol/l.</w:t>
      </w:r>
    </w:p>
    <w:p w:rsidR="00681F16" w:rsidRPr="002E0645" w:rsidRDefault="00681F16" w:rsidP="00681F16">
      <w:pPr>
        <w:rPr>
          <w:rFonts w:ascii="Times New Roman" w:hAnsi="Times New Roman" w:cs="Times New Roman"/>
          <w:b/>
          <w:sz w:val="24"/>
          <w:szCs w:val="24"/>
        </w:rPr>
      </w:pPr>
      <w:r w:rsidRPr="002E0645">
        <w:rPr>
          <w:rFonts w:ascii="Times New Roman" w:hAnsi="Times New Roman" w:cs="Times New Roman"/>
          <w:b/>
          <w:sz w:val="24"/>
          <w:szCs w:val="24"/>
        </w:rPr>
        <w:t>B1)</w:t>
      </w:r>
    </w:p>
    <w:tbl>
      <w:tblPr>
        <w:tblStyle w:val="Gitternetztabelle4Akzent1"/>
        <w:tblW w:w="9638" w:type="dxa"/>
        <w:tblLayout w:type="fixed"/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681F16" w:rsidRPr="002E0645" w:rsidTr="00D9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Indikator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Farbe der Indikatorsäure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pH-Bereich des Farbumschlags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Farbe der Indikatorbase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pKs (Hlnd)</w:t>
            </w:r>
          </w:p>
        </w:tc>
      </w:tr>
      <w:tr w:rsidR="00681F16" w:rsidRPr="002E0645" w:rsidTr="00D95E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Thymolblau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1,2 – 2,8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gelb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1,7</w:t>
            </w:r>
          </w:p>
        </w:tc>
      </w:tr>
      <w:tr w:rsidR="00681F16" w:rsidRPr="002E0645" w:rsidTr="00D9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Methylorange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3,0 – 4,4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gelborange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3,4</w:t>
            </w:r>
          </w:p>
        </w:tc>
      </w:tr>
      <w:tr w:rsidR="00681F16" w:rsidRPr="002E0645" w:rsidTr="00D95E18">
        <w:trPr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Bromkresolgrün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gelb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3,8 – 5,4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blau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4,7</w:t>
            </w:r>
          </w:p>
        </w:tc>
      </w:tr>
      <w:tr w:rsidR="00681F16" w:rsidRPr="002E0645" w:rsidTr="00D9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Methylrot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4,2 – 6,2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gelb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5,0</w:t>
            </w:r>
          </w:p>
        </w:tc>
      </w:tr>
      <w:tr w:rsidR="00681F16" w:rsidRPr="002E0645" w:rsidTr="00D95E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Lackmus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5,0 – 8,0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blau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6,5</w:t>
            </w:r>
          </w:p>
        </w:tc>
      </w:tr>
      <w:tr w:rsidR="00681F16" w:rsidRPr="002E0645" w:rsidTr="00D9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Bromthymolblau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gelb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6,0 – 7,6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blau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7,1</w:t>
            </w:r>
          </w:p>
        </w:tc>
      </w:tr>
      <w:tr w:rsidR="00681F16" w:rsidRPr="002E0645" w:rsidTr="00D95E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Thymolblau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gelb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8,0 – 9,6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blau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8,9</w:t>
            </w:r>
          </w:p>
        </w:tc>
      </w:tr>
      <w:tr w:rsidR="00681F16" w:rsidRPr="002E0645" w:rsidTr="00D9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Phenolphthalein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farblos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8,2 – 10,0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purpur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9,4</w:t>
            </w:r>
          </w:p>
        </w:tc>
      </w:tr>
      <w:tr w:rsidR="00681F16" w:rsidRPr="002E0645" w:rsidTr="00D95E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Thymolphthalein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farblos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9,3 – 10,5</w:t>
            </w:r>
          </w:p>
        </w:tc>
        <w:tc>
          <w:tcPr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blau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8" w:type="dxa"/>
          </w:tcPr>
          <w:p w:rsidR="00681F16" w:rsidRPr="002E0645" w:rsidRDefault="00681F16" w:rsidP="00681F1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2E06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10,0</w:t>
            </w:r>
          </w:p>
        </w:tc>
      </w:tr>
    </w:tbl>
    <w:p w:rsidR="00681F16" w:rsidRPr="002E0645" w:rsidRDefault="00681F16" w:rsidP="00681F16">
      <w:pPr>
        <w:rPr>
          <w:rFonts w:ascii="Times New Roman" w:hAnsi="Times New Roman" w:cs="Times New Roman"/>
          <w:sz w:val="24"/>
          <w:szCs w:val="24"/>
        </w:rPr>
      </w:pPr>
    </w:p>
    <w:p w:rsidR="00E12DC1" w:rsidRPr="002E0645" w:rsidRDefault="00E12DC1" w:rsidP="00E12DC1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645">
        <w:rPr>
          <w:rFonts w:ascii="Times New Roman" w:hAnsi="Times New Roman" w:cs="Times New Roman"/>
          <w:b/>
          <w:sz w:val="24"/>
          <w:szCs w:val="24"/>
        </w:rPr>
        <w:t xml:space="preserve">Gefahrstoffkennzeichnung </w:t>
      </w:r>
      <w:r w:rsidRPr="002E064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E064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4E75" w:rsidRPr="002E0645" w:rsidTr="00D9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D4E75" w:rsidRPr="002E0645" w:rsidRDefault="00BD4E75" w:rsidP="00E12DC1">
            <w:p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b w:val="0"/>
                <w:sz w:val="24"/>
                <w:szCs w:val="24"/>
              </w:rPr>
              <w:t>Stoff</w:t>
            </w:r>
          </w:p>
        </w:tc>
        <w:tc>
          <w:tcPr>
            <w:tcW w:w="2265" w:type="dxa"/>
          </w:tcPr>
          <w:p w:rsidR="00BD4E75" w:rsidRPr="002E0645" w:rsidRDefault="00BD4E75" w:rsidP="00E12DC1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b w:val="0"/>
                <w:sz w:val="24"/>
                <w:szCs w:val="24"/>
              </w:rPr>
              <w:t>Gefahrenzeichen</w:t>
            </w:r>
          </w:p>
        </w:tc>
        <w:tc>
          <w:tcPr>
            <w:tcW w:w="2266" w:type="dxa"/>
          </w:tcPr>
          <w:p w:rsidR="00BD4E75" w:rsidRPr="002E0645" w:rsidRDefault="00BD4E75" w:rsidP="00E12DC1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b w:val="0"/>
                <w:sz w:val="24"/>
                <w:szCs w:val="24"/>
              </w:rPr>
              <w:t>H-Sätze</w:t>
            </w:r>
          </w:p>
        </w:tc>
        <w:tc>
          <w:tcPr>
            <w:tcW w:w="2266" w:type="dxa"/>
          </w:tcPr>
          <w:p w:rsidR="00BD4E75" w:rsidRPr="002E0645" w:rsidRDefault="00BD4E75" w:rsidP="00E12DC1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b w:val="0"/>
                <w:sz w:val="24"/>
                <w:szCs w:val="24"/>
              </w:rPr>
              <w:t>P-Sätze</w:t>
            </w:r>
          </w:p>
        </w:tc>
      </w:tr>
      <w:tr w:rsidR="00BD4E75" w:rsidRPr="002E0645" w:rsidTr="00D9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D4E75" w:rsidRPr="002E0645" w:rsidRDefault="00BD4E75" w:rsidP="00E12DC1">
            <w:p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b w:val="0"/>
                <w:sz w:val="24"/>
                <w:szCs w:val="24"/>
              </w:rPr>
              <w:t>Salzsäure</w:t>
            </w:r>
          </w:p>
        </w:tc>
        <w:tc>
          <w:tcPr>
            <w:tcW w:w="2265" w:type="dxa"/>
          </w:tcPr>
          <w:p w:rsidR="00BD4E75" w:rsidRPr="002E0645" w:rsidRDefault="00BD4E75" w:rsidP="00E12DC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3A48B0F" wp14:editId="1A77A182">
                  <wp:extent cx="666720" cy="666720"/>
                  <wp:effectExtent l="0" t="0" r="0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20" cy="666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45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1890ABA" wp14:editId="216D5125">
                  <wp:extent cx="666720" cy="66672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20" cy="666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BD4E75" w:rsidRPr="002E0645" w:rsidRDefault="00BD4E75" w:rsidP="00E12DC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 w:rsidRPr="002E06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290-314-335</w:t>
            </w:r>
          </w:p>
        </w:tc>
        <w:tc>
          <w:tcPr>
            <w:tcW w:w="2266" w:type="dxa"/>
          </w:tcPr>
          <w:p w:rsidR="00BD4E75" w:rsidRPr="002E0645" w:rsidRDefault="00BD4E75" w:rsidP="00E12DC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P: 234-260-304+340-303+361+353-305+351+338-309+311-501</w:t>
            </w:r>
          </w:p>
        </w:tc>
      </w:tr>
      <w:tr w:rsidR="00BD4E75" w:rsidRPr="002E0645" w:rsidTr="00D95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D4E75" w:rsidRPr="002E0645" w:rsidRDefault="008B0562" w:rsidP="00E12DC1">
            <w:p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Kalilauge </w:t>
            </w:r>
          </w:p>
        </w:tc>
        <w:tc>
          <w:tcPr>
            <w:tcW w:w="2265" w:type="dxa"/>
          </w:tcPr>
          <w:p w:rsidR="00BD4E75" w:rsidRPr="002E0645" w:rsidRDefault="008B0562" w:rsidP="00E12DC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6EEA7E00" wp14:editId="0642C4E0">
                  <wp:extent cx="762000" cy="762000"/>
                  <wp:effectExtent l="0" t="0" r="0" b="0"/>
                  <wp:docPr id="3" name="Bild 1" descr="05 – 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 – 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45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7F4D4D32" wp14:editId="46B069C0">
                  <wp:extent cx="762000" cy="762000"/>
                  <wp:effectExtent l="0" t="0" r="0" b="0"/>
                  <wp:docPr id="4" name="Bild 3" descr="07 – Ach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7 – Ach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BD4E75" w:rsidRPr="002E0645" w:rsidRDefault="008B0562" w:rsidP="00E12DC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H: 290​</w:t>
            </w:r>
            <w:r w:rsidRPr="002E064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​302​</w:t>
            </w:r>
            <w:r w:rsidRPr="002E064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​314</w:t>
            </w:r>
          </w:p>
        </w:tc>
        <w:tc>
          <w:tcPr>
            <w:tcW w:w="2266" w:type="dxa"/>
          </w:tcPr>
          <w:p w:rsidR="00BD4E75" w:rsidRPr="002E0645" w:rsidRDefault="008B0562" w:rsidP="00E12DC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P: 280​</w:t>
            </w:r>
            <w:r w:rsidRPr="002E064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​301+330+331​</w:t>
            </w:r>
            <w:r w:rsidRPr="002E064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​305+351+338​</w:t>
            </w:r>
            <w:r w:rsidRPr="002E064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​309+310</w:t>
            </w:r>
          </w:p>
        </w:tc>
      </w:tr>
      <w:tr w:rsidR="00BD4E75" w:rsidRPr="002E0645" w:rsidTr="00D95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D4E75" w:rsidRPr="002E0645" w:rsidRDefault="008B0562" w:rsidP="00E12DC1">
            <w:p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Ammoniaklösung </w:t>
            </w:r>
          </w:p>
        </w:tc>
        <w:tc>
          <w:tcPr>
            <w:tcW w:w="2265" w:type="dxa"/>
          </w:tcPr>
          <w:p w:rsidR="00BD4E75" w:rsidRPr="002E0645" w:rsidRDefault="008B0562" w:rsidP="00E12DC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76696AB2" wp14:editId="66A7E71D">
                  <wp:extent cx="762000" cy="762000"/>
                  <wp:effectExtent l="0" t="0" r="0" b="0"/>
                  <wp:docPr id="5" name="Bild 5" descr="05 – 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5 – 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0645">
              <w:rPr>
                <w:rFonts w:ascii="Times New Roman" w:hAnsi="Times New Roman" w:cs="Times New Roman"/>
                <w:noProof/>
                <w:lang w:eastAsia="de-DE"/>
              </w:rPr>
              <w:drawing>
                <wp:inline distT="0" distB="0" distL="0" distR="0" wp14:anchorId="40572DF9" wp14:editId="5DD41C9E">
                  <wp:extent cx="762000" cy="762000"/>
                  <wp:effectExtent l="0" t="0" r="0" b="0"/>
                  <wp:docPr id="8" name="Bild 7" descr="09 – Umweltgefährl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9 – Umweltgefährl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BD4E75" w:rsidRPr="002E0645" w:rsidRDefault="008B0562" w:rsidP="00E12DC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H: 314​</w:t>
            </w:r>
            <w:r w:rsidRPr="002E064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​400</w:t>
            </w:r>
          </w:p>
        </w:tc>
        <w:tc>
          <w:tcPr>
            <w:tcW w:w="2266" w:type="dxa"/>
          </w:tcPr>
          <w:p w:rsidR="00BD4E75" w:rsidRPr="002E0645" w:rsidRDefault="008B0562" w:rsidP="00E12DC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P: 273​</w:t>
            </w:r>
            <w:r w:rsidRPr="002E064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​280​</w:t>
            </w:r>
            <w:r w:rsidRPr="002E064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​305+351+338​</w:t>
            </w:r>
            <w:r w:rsidRPr="002E064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​309+310</w:t>
            </w:r>
          </w:p>
        </w:tc>
      </w:tr>
    </w:tbl>
    <w:p w:rsidR="000B0099" w:rsidRPr="002E0645" w:rsidRDefault="000B0099" w:rsidP="000B0099">
      <w:pPr>
        <w:pStyle w:val="berschrift1"/>
        <w:rPr>
          <w:sz w:val="24"/>
          <w:szCs w:val="24"/>
        </w:rPr>
      </w:pPr>
      <w:r w:rsidRPr="002E0645">
        <w:rPr>
          <w:sz w:val="24"/>
          <w:szCs w:val="24"/>
        </w:rPr>
        <w:lastRenderedPageBreak/>
        <w:t>Was ist ein Äquivalenzpunkt</w:t>
      </w:r>
      <w:r w:rsidRPr="002E0645">
        <w:rPr>
          <w:sz w:val="24"/>
          <w:szCs w:val="24"/>
          <w:vertAlign w:val="superscript"/>
        </w:rPr>
        <w:t>2</w:t>
      </w:r>
      <w:r w:rsidRPr="002E0645">
        <w:rPr>
          <w:sz w:val="24"/>
          <w:szCs w:val="24"/>
        </w:rPr>
        <w:t>?</w:t>
      </w:r>
    </w:p>
    <w:p w:rsidR="000B0099" w:rsidRPr="000B0099" w:rsidRDefault="000B0099" w:rsidP="000B0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0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0B009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Äquivalenzpunkt</w:t>
      </w:r>
      <w:r w:rsidRPr="000B00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einer </w:t>
      </w:r>
      <w:hyperlink r:id="rId13" w:tooltip="Säure-Base-Titration" w:history="1">
        <w:r w:rsidRPr="000B009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Säure-Base-Titration</w:t>
        </w:r>
      </w:hyperlink>
      <w:r w:rsidRPr="000B00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der Punkt, bei dem eine bestimmte </w:t>
      </w:r>
      <w:hyperlink r:id="rId14" w:tooltip="Stoffmenge" w:history="1">
        <w:r w:rsidRPr="000B0099"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t>Stoffmenge</w:t>
        </w:r>
      </w:hyperlink>
      <w:r w:rsidRPr="000B00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Säure beziehungsweise Base mit der äquivalenten Stoffmenge Base beziehungsweise Säure vorliegt. Im Äquivalenzpunkt gilt also:</w:t>
      </w:r>
    </w:p>
    <w:p w:rsidR="000B0099" w:rsidRPr="002E0645" w:rsidRDefault="000B0099" w:rsidP="000B00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009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DC23500" wp14:editId="010CA5D2">
            <wp:extent cx="1581150" cy="200025"/>
            <wp:effectExtent l="0" t="0" r="0" b="9525"/>
            <wp:docPr id="6" name="Bild 2" descr="n(\mathrm{S \ddot a ure}) = n(\mathrm{Base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(\mathrm{S \ddot a ure}) = n(\mathrm{Base}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2A" w:rsidRPr="002E0645" w:rsidRDefault="00A5662A" w:rsidP="00A56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E064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Was ist eine Titration</w:t>
      </w:r>
      <w:r w:rsidRPr="002E064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de-DE"/>
        </w:rPr>
        <w:t>3</w:t>
      </w:r>
      <w:r w:rsidRPr="002E064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?</w:t>
      </w:r>
    </w:p>
    <w:p w:rsidR="00A5662A" w:rsidRPr="002E0645" w:rsidRDefault="00A5662A" w:rsidP="00A56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5662A" w:rsidRPr="00A5662A" w:rsidRDefault="00A5662A" w:rsidP="00A5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de-DE"/>
        </w:rPr>
      </w:pPr>
      <w:bookmarkStart w:id="0" w:name="titration"/>
      <w:r w:rsidRPr="00A5662A">
        <w:rPr>
          <w:rFonts w:ascii="Times New Roman" w:eastAsia="Times New Roman" w:hAnsi="Times New Roman" w:cs="Times New Roman"/>
          <w:sz w:val="24"/>
          <w:szCs w:val="27"/>
          <w:lang w:eastAsia="de-DE"/>
        </w:rPr>
        <w:t>Titration</w:t>
      </w:r>
      <w:bookmarkEnd w:id="0"/>
      <w:r w:rsidRPr="002E0645">
        <w:rPr>
          <w:rFonts w:ascii="Times New Roman" w:eastAsia="Times New Roman" w:hAnsi="Times New Roman" w:cs="Times New Roman"/>
          <w:sz w:val="24"/>
          <w:szCs w:val="27"/>
          <w:lang w:eastAsia="de-DE"/>
        </w:rPr>
        <w:t xml:space="preserve"> ist </w:t>
      </w:r>
      <w:r w:rsidRPr="00A5662A">
        <w:rPr>
          <w:rFonts w:ascii="Times New Roman" w:eastAsia="Times New Roman" w:hAnsi="Times New Roman" w:cs="Times New Roman"/>
          <w:sz w:val="24"/>
          <w:szCs w:val="27"/>
          <w:lang w:eastAsia="de-DE"/>
        </w:rPr>
        <w:t xml:space="preserve">eine Lösung mit bekannter Konzentration reagiert mit einer Lösung deren Konzentration zu ermitteln ist. </w:t>
      </w:r>
    </w:p>
    <w:p w:rsidR="00A5662A" w:rsidRPr="000B0099" w:rsidRDefault="00A5662A" w:rsidP="00A56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81F16" w:rsidRPr="002E0645" w:rsidRDefault="007A7E27" w:rsidP="007A7E2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645">
        <w:rPr>
          <w:rFonts w:ascii="Times New Roman" w:hAnsi="Times New Roman" w:cs="Times New Roman"/>
          <w:sz w:val="24"/>
          <w:szCs w:val="24"/>
        </w:rPr>
        <w:t xml:space="preserve"> </w:t>
      </w:r>
      <w:r w:rsidR="00681F16" w:rsidRPr="002E0645">
        <w:rPr>
          <w:rFonts w:ascii="Times New Roman" w:hAnsi="Times New Roman" w:cs="Times New Roman"/>
          <w:sz w:val="24"/>
          <w:szCs w:val="24"/>
        </w:rPr>
        <w:t>a)</w:t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48CB" w:rsidRPr="002E0645" w:rsidTr="00234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348CB" w:rsidRPr="002E0645" w:rsidRDefault="002348CB" w:rsidP="0068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Kalilauge</w:t>
            </w:r>
          </w:p>
        </w:tc>
        <w:tc>
          <w:tcPr>
            <w:tcW w:w="4531" w:type="dxa"/>
          </w:tcPr>
          <w:p w:rsidR="002348CB" w:rsidRPr="002E0645" w:rsidRDefault="002348CB" w:rsidP="00681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Salzsäure</w:t>
            </w:r>
          </w:p>
        </w:tc>
      </w:tr>
      <w:tr w:rsidR="002348CB" w:rsidRPr="002E0645" w:rsidTr="00234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348CB" w:rsidRPr="002E0645" w:rsidRDefault="002348CB" w:rsidP="00681F1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b w:val="0"/>
                <w:sz w:val="24"/>
                <w:szCs w:val="24"/>
              </w:rPr>
              <w:t>KOH</w:t>
            </w:r>
          </w:p>
        </w:tc>
        <w:tc>
          <w:tcPr>
            <w:tcW w:w="4531" w:type="dxa"/>
          </w:tcPr>
          <w:p w:rsidR="002348CB" w:rsidRPr="002E0645" w:rsidRDefault="002348CB" w:rsidP="00681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</w:p>
        </w:tc>
      </w:tr>
      <w:tr w:rsidR="002348CB" w:rsidRPr="002E0645" w:rsidTr="002348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348CB" w:rsidRPr="002E0645" w:rsidRDefault="002348CB" w:rsidP="0068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starke Base</w:t>
            </w:r>
          </w:p>
        </w:tc>
        <w:tc>
          <w:tcPr>
            <w:tcW w:w="4531" w:type="dxa"/>
          </w:tcPr>
          <w:p w:rsidR="002348CB" w:rsidRPr="002E0645" w:rsidRDefault="007D5718" w:rsidP="0023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6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348CB" w:rsidRPr="002E0645">
              <w:rPr>
                <w:rFonts w:ascii="Times New Roman" w:hAnsi="Times New Roman" w:cs="Times New Roman"/>
                <w:sz w:val="24"/>
                <w:szCs w:val="24"/>
              </w:rPr>
              <w:t>tarke Säure</w:t>
            </w:r>
          </w:p>
        </w:tc>
      </w:tr>
    </w:tbl>
    <w:p w:rsidR="00E12DC1" w:rsidRPr="002E0645" w:rsidRDefault="00E12DC1" w:rsidP="00681F16">
      <w:pPr>
        <w:rPr>
          <w:rFonts w:ascii="Times New Roman" w:hAnsi="Times New Roman" w:cs="Times New Roman"/>
          <w:sz w:val="24"/>
        </w:rPr>
      </w:pPr>
    </w:p>
    <w:p w:rsidR="00E12DC1" w:rsidRPr="002E0645" w:rsidRDefault="000B0099" w:rsidP="00E12DC1">
      <w:pPr>
        <w:rPr>
          <w:rFonts w:ascii="Times New Roman" w:hAnsi="Times New Roman" w:cs="Times New Roman"/>
          <w:b/>
          <w:sz w:val="24"/>
        </w:rPr>
      </w:pPr>
      <w:r w:rsidRPr="002E0645">
        <w:rPr>
          <w:rFonts w:ascii="Times New Roman" w:hAnsi="Times New Roman" w:cs="Times New Roman"/>
          <w:b/>
          <w:sz w:val="24"/>
        </w:rPr>
        <w:t xml:space="preserve">Reaktionsgleichung: </w:t>
      </w:r>
    </w:p>
    <w:p w:rsidR="000B0099" w:rsidRPr="002E0645" w:rsidRDefault="000B0099" w:rsidP="000B0099">
      <w:pPr>
        <w:rPr>
          <w:rFonts w:ascii="Times New Roman" w:hAnsi="Times New Roman" w:cs="Times New Roman"/>
          <w:b/>
          <w:sz w:val="24"/>
        </w:rPr>
      </w:pPr>
      <w:r w:rsidRPr="002E0645">
        <w:rPr>
          <w:rFonts w:ascii="Times New Roman" w:hAnsi="Times New Roman" w:cs="Times New Roman"/>
          <w:b/>
          <w:sz w:val="24"/>
        </w:rPr>
        <w:t>HCl + KOH → K+ + Cl- + H2O</w:t>
      </w:r>
    </w:p>
    <w:p w:rsidR="007D5718" w:rsidRPr="002E0645" w:rsidRDefault="000B0099" w:rsidP="000B0099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 xml:space="preserve">Titriert man eine </w:t>
      </w:r>
      <w:r w:rsidR="007D5718" w:rsidRPr="002E0645">
        <w:rPr>
          <w:rFonts w:ascii="Times New Roman" w:hAnsi="Times New Roman" w:cs="Times New Roman"/>
          <w:sz w:val="24"/>
        </w:rPr>
        <w:t xml:space="preserve">starke Base </w:t>
      </w:r>
      <w:r w:rsidRPr="002E0645">
        <w:rPr>
          <w:rFonts w:ascii="Times New Roman" w:hAnsi="Times New Roman" w:cs="Times New Roman"/>
          <w:sz w:val="24"/>
        </w:rPr>
        <w:t xml:space="preserve">und </w:t>
      </w:r>
      <w:r w:rsidR="007D5718" w:rsidRPr="002E0645">
        <w:rPr>
          <w:rFonts w:ascii="Times New Roman" w:hAnsi="Times New Roman" w:cs="Times New Roman"/>
          <w:sz w:val="24"/>
        </w:rPr>
        <w:t>eine</w:t>
      </w:r>
      <w:r w:rsidR="007D5718" w:rsidRPr="002E0645">
        <w:rPr>
          <w:rFonts w:ascii="Times New Roman" w:hAnsi="Times New Roman" w:cs="Times New Roman"/>
          <w:sz w:val="24"/>
        </w:rPr>
        <w:t xml:space="preserve"> </w:t>
      </w:r>
      <w:r w:rsidR="007D5718" w:rsidRPr="002E0645">
        <w:rPr>
          <w:rFonts w:ascii="Times New Roman" w:hAnsi="Times New Roman" w:cs="Times New Roman"/>
          <w:sz w:val="24"/>
        </w:rPr>
        <w:t xml:space="preserve">starke Säure </w:t>
      </w:r>
      <w:r w:rsidRPr="002E0645">
        <w:rPr>
          <w:rFonts w:ascii="Times New Roman" w:hAnsi="Times New Roman" w:cs="Times New Roman"/>
          <w:sz w:val="24"/>
        </w:rPr>
        <w:t>miteinander,</w:t>
      </w:r>
      <w:r w:rsidR="007D5718" w:rsidRPr="002E0645">
        <w:rPr>
          <w:rFonts w:ascii="Times New Roman" w:hAnsi="Times New Roman" w:cs="Times New Roman"/>
          <w:sz w:val="24"/>
        </w:rPr>
        <w:t xml:space="preserve"> so reagieren sie neutral miteinander.</w:t>
      </w:r>
      <w:r w:rsidRPr="002E0645">
        <w:rPr>
          <w:rFonts w:ascii="Times New Roman" w:hAnsi="Times New Roman" w:cs="Times New Roman"/>
          <w:sz w:val="24"/>
        </w:rPr>
        <w:t xml:space="preserve"> </w:t>
      </w:r>
      <w:r w:rsidR="007D5718" w:rsidRPr="002E0645">
        <w:rPr>
          <w:rFonts w:ascii="Times New Roman" w:hAnsi="Times New Roman" w:cs="Times New Roman"/>
          <w:sz w:val="24"/>
        </w:rPr>
        <w:t>So ist der</w:t>
      </w:r>
      <w:r w:rsidRPr="002E0645">
        <w:rPr>
          <w:rFonts w:ascii="Times New Roman" w:hAnsi="Times New Roman" w:cs="Times New Roman"/>
          <w:sz w:val="24"/>
        </w:rPr>
        <w:t xml:space="preserve"> Äquivalenzpunkt in </w:t>
      </w:r>
      <w:r w:rsidR="007D5718" w:rsidRPr="002E0645">
        <w:rPr>
          <w:rFonts w:ascii="Times New Roman" w:hAnsi="Times New Roman" w:cs="Times New Roman"/>
          <w:sz w:val="24"/>
        </w:rPr>
        <w:t xml:space="preserve">einer </w:t>
      </w:r>
      <w:r w:rsidRPr="002E0645">
        <w:rPr>
          <w:rFonts w:ascii="Times New Roman" w:hAnsi="Times New Roman" w:cs="Times New Roman"/>
          <w:sz w:val="24"/>
        </w:rPr>
        <w:t>wässrige</w:t>
      </w:r>
      <w:r w:rsidR="007D5718" w:rsidRPr="002E0645">
        <w:rPr>
          <w:rFonts w:ascii="Times New Roman" w:hAnsi="Times New Roman" w:cs="Times New Roman"/>
          <w:sz w:val="24"/>
        </w:rPr>
        <w:t>n</w:t>
      </w:r>
      <w:r w:rsidRPr="002E0645">
        <w:rPr>
          <w:rFonts w:ascii="Times New Roman" w:hAnsi="Times New Roman" w:cs="Times New Roman"/>
          <w:sz w:val="24"/>
        </w:rPr>
        <w:t xml:space="preserve"> Lösung gleich dem Neutralpunkt. </w:t>
      </w:r>
      <w:r w:rsidR="007D5718" w:rsidRPr="002E0645">
        <w:rPr>
          <w:rFonts w:ascii="Times New Roman" w:hAnsi="Times New Roman" w:cs="Times New Roman"/>
          <w:sz w:val="24"/>
        </w:rPr>
        <w:t>Der Neutralpunkt befindet sich d</w:t>
      </w:r>
      <w:r w:rsidRPr="002E0645">
        <w:rPr>
          <w:rFonts w:ascii="Times New Roman" w:hAnsi="Times New Roman" w:cs="Times New Roman"/>
          <w:sz w:val="24"/>
        </w:rPr>
        <w:t xml:space="preserve">aher </w:t>
      </w:r>
      <w:r w:rsidR="007D5718" w:rsidRPr="002E0645">
        <w:rPr>
          <w:rFonts w:ascii="Times New Roman" w:hAnsi="Times New Roman" w:cs="Times New Roman"/>
          <w:sz w:val="24"/>
        </w:rPr>
        <w:t xml:space="preserve">um den </w:t>
      </w:r>
      <w:r w:rsidRPr="002E0645">
        <w:rPr>
          <w:rFonts w:ascii="Times New Roman" w:hAnsi="Times New Roman" w:cs="Times New Roman"/>
          <w:sz w:val="24"/>
        </w:rPr>
        <w:t>pH-Wert=7</w:t>
      </w:r>
      <w:r w:rsidR="007D5718" w:rsidRPr="002E0645">
        <w:rPr>
          <w:rFonts w:ascii="Times New Roman" w:hAnsi="Times New Roman" w:cs="Times New Roman"/>
          <w:sz w:val="24"/>
        </w:rPr>
        <w:t xml:space="preserve"> rum.</w:t>
      </w:r>
      <w:r w:rsidR="005E2A31" w:rsidRPr="002E0645">
        <w:rPr>
          <w:rFonts w:ascii="Times New Roman" w:hAnsi="Times New Roman" w:cs="Times New Roman"/>
          <w:sz w:val="24"/>
        </w:rPr>
        <w:t xml:space="preserve"> Die</w:t>
      </w:r>
      <w:r w:rsidRPr="002E0645">
        <w:rPr>
          <w:rFonts w:ascii="Times New Roman" w:hAnsi="Times New Roman" w:cs="Times New Roman"/>
          <w:sz w:val="24"/>
        </w:rPr>
        <w:t xml:space="preserve"> Indikator</w:t>
      </w:r>
      <w:r w:rsidR="005E2A31" w:rsidRPr="002E0645">
        <w:rPr>
          <w:rFonts w:ascii="Times New Roman" w:hAnsi="Times New Roman" w:cs="Times New Roman"/>
          <w:sz w:val="24"/>
        </w:rPr>
        <w:t>en</w:t>
      </w:r>
      <w:r w:rsidRPr="002E0645">
        <w:rPr>
          <w:rFonts w:ascii="Times New Roman" w:hAnsi="Times New Roman" w:cs="Times New Roman"/>
          <w:sz w:val="24"/>
        </w:rPr>
        <w:t xml:space="preserve"> </w:t>
      </w:r>
      <w:r w:rsidR="007D5718" w:rsidRPr="002E0645">
        <w:rPr>
          <w:rFonts w:ascii="Times New Roman" w:hAnsi="Times New Roman" w:cs="Times New Roman"/>
          <w:sz w:val="24"/>
        </w:rPr>
        <w:t>die dort in Frage kommen würden sind:</w:t>
      </w:r>
    </w:p>
    <w:p w:rsidR="007D5718" w:rsidRPr="002E0645" w:rsidRDefault="000B0099" w:rsidP="007D571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 xml:space="preserve">Bromthymolblau, </w:t>
      </w:r>
      <w:r w:rsidR="007D5718" w:rsidRPr="002E0645">
        <w:rPr>
          <w:rFonts w:ascii="Times New Roman" w:hAnsi="Times New Roman" w:cs="Times New Roman"/>
          <w:sz w:val="24"/>
        </w:rPr>
        <w:t>Der pH-Wert liegt im Bereich 6,0 bis 7,6.</w:t>
      </w:r>
    </w:p>
    <w:p w:rsidR="000B0099" w:rsidRPr="002E0645" w:rsidRDefault="000B0099" w:rsidP="007D571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 xml:space="preserve">Lackmus </w:t>
      </w:r>
      <w:r w:rsidR="007D5718" w:rsidRPr="002E0645">
        <w:rPr>
          <w:rFonts w:ascii="Times New Roman" w:hAnsi="Times New Roman" w:cs="Times New Roman"/>
          <w:sz w:val="24"/>
        </w:rPr>
        <w:t>ist mit dem pH-Wert von</w:t>
      </w:r>
      <w:r w:rsidRPr="002E0645">
        <w:rPr>
          <w:rFonts w:ascii="Times New Roman" w:hAnsi="Times New Roman" w:cs="Times New Roman"/>
          <w:sz w:val="24"/>
        </w:rPr>
        <w:t xml:space="preserve"> 5,0</w:t>
      </w:r>
      <w:r w:rsidR="007D5718" w:rsidRPr="002E0645">
        <w:rPr>
          <w:rFonts w:ascii="Times New Roman" w:hAnsi="Times New Roman" w:cs="Times New Roman"/>
          <w:sz w:val="24"/>
        </w:rPr>
        <w:t xml:space="preserve"> bis 8,0 ebenfalls möglich.</w:t>
      </w:r>
    </w:p>
    <w:p w:rsidR="007D5718" w:rsidRPr="002E0645" w:rsidRDefault="007D5718" w:rsidP="007D5718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 xml:space="preserve">Da wir 2 Indikatoren haben die in Frage kommen können, gucken wir uns den Pks-Wert an. </w:t>
      </w:r>
    </w:p>
    <w:p w:rsidR="007D5718" w:rsidRPr="002E0645" w:rsidRDefault="007D5718" w:rsidP="007D571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>Bromthymolblau</w:t>
      </w:r>
      <w:r w:rsidRPr="002E0645">
        <w:rPr>
          <w:rFonts w:ascii="Times New Roman" w:hAnsi="Times New Roman" w:cs="Times New Roman"/>
          <w:sz w:val="24"/>
        </w:rPr>
        <w:t xml:space="preserve"> 7,1</w:t>
      </w:r>
    </w:p>
    <w:p w:rsidR="007D5718" w:rsidRPr="002E0645" w:rsidRDefault="007D5718" w:rsidP="007D571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>Lackmus</w:t>
      </w:r>
      <w:r w:rsidRPr="002E0645">
        <w:rPr>
          <w:rFonts w:ascii="Times New Roman" w:hAnsi="Times New Roman" w:cs="Times New Roman"/>
          <w:sz w:val="24"/>
        </w:rPr>
        <w:t xml:space="preserve"> 6,5</w:t>
      </w:r>
    </w:p>
    <w:p w:rsidR="007D5718" w:rsidRPr="002E0645" w:rsidRDefault="007D5718" w:rsidP="007D5718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 xml:space="preserve">also sollten wir in diesem Fall besser </w:t>
      </w:r>
      <w:r w:rsidRPr="002E0645">
        <w:rPr>
          <w:rFonts w:ascii="Times New Roman" w:hAnsi="Times New Roman" w:cs="Times New Roman"/>
          <w:sz w:val="24"/>
        </w:rPr>
        <w:t>Bromthymolblau</w:t>
      </w:r>
      <w:r w:rsidRPr="002E0645">
        <w:rPr>
          <w:rFonts w:ascii="Times New Roman" w:hAnsi="Times New Roman" w:cs="Times New Roman"/>
          <w:sz w:val="24"/>
        </w:rPr>
        <w:t xml:space="preserve"> mit</w:t>
      </w:r>
      <w:r w:rsidRPr="002E0645">
        <w:rPr>
          <w:rFonts w:ascii="Times New Roman" w:hAnsi="Times New Roman" w:cs="Times New Roman"/>
          <w:sz w:val="24"/>
        </w:rPr>
        <w:t xml:space="preserve"> 7,1</w:t>
      </w:r>
      <w:r w:rsidRPr="002E0645">
        <w:rPr>
          <w:rFonts w:ascii="Times New Roman" w:hAnsi="Times New Roman" w:cs="Times New Roman"/>
          <w:sz w:val="24"/>
        </w:rPr>
        <w:t xml:space="preserve"> verwenden, da er näher an dem neutralen </w:t>
      </w:r>
      <w:r w:rsidR="005E2A31" w:rsidRPr="002E0645">
        <w:rPr>
          <w:rFonts w:ascii="Times New Roman" w:hAnsi="Times New Roman" w:cs="Times New Roman"/>
          <w:sz w:val="24"/>
        </w:rPr>
        <w:t>PH-Wert</w:t>
      </w:r>
      <w:r w:rsidRPr="002E0645">
        <w:rPr>
          <w:rFonts w:ascii="Times New Roman" w:hAnsi="Times New Roman" w:cs="Times New Roman"/>
          <w:sz w:val="24"/>
        </w:rPr>
        <w:t xml:space="preserve"> dran ist, als Lackmus.</w:t>
      </w:r>
    </w:p>
    <w:p w:rsidR="007D5718" w:rsidRPr="002E0645" w:rsidRDefault="007D5718" w:rsidP="007D5718">
      <w:pPr>
        <w:rPr>
          <w:rFonts w:ascii="Times New Roman" w:hAnsi="Times New Roman" w:cs="Times New Roman"/>
          <w:sz w:val="24"/>
        </w:rPr>
      </w:pPr>
    </w:p>
    <w:p w:rsidR="007D5718" w:rsidRPr="002E0645" w:rsidRDefault="007D5718" w:rsidP="00E12DC1">
      <w:pPr>
        <w:rPr>
          <w:rFonts w:ascii="Times New Roman" w:hAnsi="Times New Roman" w:cs="Times New Roman"/>
          <w:sz w:val="24"/>
        </w:rPr>
      </w:pPr>
    </w:p>
    <w:p w:rsidR="00FB1EED" w:rsidRPr="002E0645" w:rsidRDefault="00E12DC1" w:rsidP="00E12DC1">
      <w:pPr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2E0645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2E0645">
        <w:rPr>
          <w:rFonts w:ascii="Times New Roman" w:hAnsi="Times New Roman" w:cs="Times New Roman"/>
          <w:sz w:val="18"/>
          <w:szCs w:val="18"/>
        </w:rPr>
        <w:t xml:space="preserve">o.V., Salzsäure: Sicherheitshinweise. In: http://de.wikipedia.org/wiki/Salzs%C3%A4ure </w:t>
      </w:r>
      <w:r w:rsidRPr="002E0645">
        <w:rPr>
          <w:rFonts w:ascii="Times New Roman" w:hAnsi="Times New Roman" w:cs="Times New Roman"/>
          <w:sz w:val="18"/>
          <w:szCs w:val="18"/>
        </w:rPr>
        <w:br/>
        <w:t xml:space="preserve">  (Stand 03.12.15) (abgerufen:16.04.2016)</w:t>
      </w:r>
    </w:p>
    <w:p w:rsidR="00FB1EED" w:rsidRPr="002E0645" w:rsidRDefault="00FB1EED" w:rsidP="00E12DC1">
      <w:pPr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2E0645">
        <w:rPr>
          <w:rFonts w:ascii="Times New Roman" w:hAnsi="Times New Roman" w:cs="Times New Roman"/>
          <w:sz w:val="18"/>
          <w:szCs w:val="18"/>
        </w:rPr>
        <w:t xml:space="preserve">Ammoniaklösung: </w:t>
      </w:r>
      <w:hyperlink r:id="rId16" w:history="1">
        <w:r w:rsidRPr="002E064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https://de.wikipedia.org/wiki/Ammoniakwasser</w:t>
        </w:r>
      </w:hyperlink>
      <w:r w:rsidRPr="002E0645">
        <w:rPr>
          <w:rFonts w:ascii="Times New Roman" w:hAnsi="Times New Roman" w:cs="Times New Roman"/>
          <w:sz w:val="18"/>
          <w:szCs w:val="18"/>
        </w:rPr>
        <w:t xml:space="preserve">  (abgerufen:16.04.2016)</w:t>
      </w:r>
    </w:p>
    <w:p w:rsidR="007A7E27" w:rsidRPr="002E0645" w:rsidRDefault="007A7E27" w:rsidP="007A7E27">
      <w:pPr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2E0645">
        <w:rPr>
          <w:rFonts w:ascii="Times New Roman" w:hAnsi="Times New Roman" w:cs="Times New Roman"/>
          <w:sz w:val="18"/>
          <w:szCs w:val="18"/>
        </w:rPr>
        <w:t xml:space="preserve">Kalilauge: </w:t>
      </w:r>
      <w:hyperlink r:id="rId17" w:history="1">
        <w:r w:rsidRPr="002E064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http://www.seilnacht.com/Chemie/ch_kohla.htm</w:t>
        </w:r>
      </w:hyperlink>
      <w:r w:rsidRPr="002E0645">
        <w:rPr>
          <w:rFonts w:ascii="Times New Roman" w:hAnsi="Times New Roman" w:cs="Times New Roman"/>
          <w:sz w:val="18"/>
          <w:szCs w:val="18"/>
        </w:rPr>
        <w:t xml:space="preserve"> (abgerufen:16.04.2016)</w:t>
      </w:r>
    </w:p>
    <w:p w:rsidR="000B0099" w:rsidRPr="002E0645" w:rsidRDefault="000B0099" w:rsidP="007A7E27">
      <w:pPr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2E064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2E0645">
        <w:rPr>
          <w:rFonts w:ascii="Times New Roman" w:hAnsi="Times New Roman" w:cs="Times New Roman"/>
        </w:rPr>
        <w:t xml:space="preserve"> </w:t>
      </w:r>
      <w:hyperlink r:id="rId18" w:history="1">
        <w:r w:rsidRPr="002E064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https://de.wikipedia.org/wiki/%C3%84quivalenzpunkt</w:t>
        </w:r>
      </w:hyperlink>
      <w:r w:rsidRPr="002E0645">
        <w:rPr>
          <w:rFonts w:ascii="Times New Roman" w:hAnsi="Times New Roman" w:cs="Times New Roman"/>
          <w:sz w:val="18"/>
          <w:szCs w:val="18"/>
        </w:rPr>
        <w:t xml:space="preserve"> abgerufen am 17.04.2016</w:t>
      </w:r>
    </w:p>
    <w:p w:rsidR="007A7E27" w:rsidRPr="002E0645" w:rsidRDefault="00A5662A" w:rsidP="00E12DC1">
      <w:pPr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2E0645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2E0645">
        <w:rPr>
          <w:rFonts w:ascii="Times New Roman" w:hAnsi="Times New Roman" w:cs="Times New Roman"/>
        </w:rPr>
        <w:t xml:space="preserve"> </w:t>
      </w:r>
      <w:hyperlink r:id="rId19" w:history="1">
        <w:r w:rsidRPr="002E064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http://www.cup.uni-muenchen.de/puchinger/glossar/glossarB3_3.html</w:t>
        </w:r>
      </w:hyperlink>
      <w:r w:rsidRPr="002E0645">
        <w:rPr>
          <w:rFonts w:ascii="Times New Roman" w:hAnsi="Times New Roman" w:cs="Times New Roman"/>
          <w:sz w:val="18"/>
          <w:szCs w:val="18"/>
        </w:rPr>
        <w:t xml:space="preserve"> abgerufen am 17.04.2016</w:t>
      </w:r>
    </w:p>
    <w:p w:rsidR="002348CB" w:rsidRPr="002E0645" w:rsidRDefault="00E12DC1" w:rsidP="00E12DC1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18"/>
          <w:szCs w:val="18"/>
        </w:rPr>
        <w:br/>
      </w:r>
    </w:p>
    <w:p w:rsidR="006D6A66" w:rsidRPr="002E0645" w:rsidRDefault="006D6A66" w:rsidP="00E12DC1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lastRenderedPageBreak/>
        <w:t>b)</w:t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6A66" w:rsidRPr="002E0645" w:rsidTr="006D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6A66" w:rsidRPr="002E0645" w:rsidRDefault="006D6A66" w:rsidP="00E12DC1">
            <w:pPr>
              <w:rPr>
                <w:rFonts w:ascii="Times New Roman" w:hAnsi="Times New Roman" w:cs="Times New Roman"/>
                <w:sz w:val="24"/>
              </w:rPr>
            </w:pPr>
            <w:r w:rsidRPr="002E0645">
              <w:rPr>
                <w:rFonts w:ascii="Times New Roman" w:hAnsi="Times New Roman" w:cs="Times New Roman"/>
                <w:sz w:val="24"/>
              </w:rPr>
              <w:t>Ammoniak</w:t>
            </w:r>
          </w:p>
        </w:tc>
        <w:tc>
          <w:tcPr>
            <w:tcW w:w="4531" w:type="dxa"/>
          </w:tcPr>
          <w:p w:rsidR="006D6A66" w:rsidRPr="002E0645" w:rsidRDefault="006D6A66" w:rsidP="00E12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E0645">
              <w:rPr>
                <w:rFonts w:ascii="Times New Roman" w:hAnsi="Times New Roman" w:cs="Times New Roman"/>
                <w:sz w:val="24"/>
              </w:rPr>
              <w:t>Salzsäure</w:t>
            </w:r>
          </w:p>
        </w:tc>
      </w:tr>
      <w:tr w:rsidR="006D6A66" w:rsidRPr="002E0645" w:rsidTr="006D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6A66" w:rsidRPr="002E0645" w:rsidRDefault="006D6A66" w:rsidP="00E12DC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E0645">
              <w:rPr>
                <w:rFonts w:ascii="Times New Roman" w:hAnsi="Times New Roman" w:cs="Times New Roman"/>
                <w:b w:val="0"/>
                <w:sz w:val="24"/>
              </w:rPr>
              <w:t>NH</w:t>
            </w:r>
            <w:r w:rsidRPr="002E0645">
              <w:rPr>
                <w:rFonts w:ascii="Times New Roman" w:hAnsi="Times New Roman" w:cs="Times New Roman"/>
                <w:b w:val="0"/>
                <w:sz w:val="24"/>
                <w:vertAlign w:val="subscript"/>
              </w:rPr>
              <w:t>3</w:t>
            </w:r>
          </w:p>
        </w:tc>
        <w:tc>
          <w:tcPr>
            <w:tcW w:w="4531" w:type="dxa"/>
          </w:tcPr>
          <w:p w:rsidR="006D6A66" w:rsidRPr="002E0645" w:rsidRDefault="006D6A66" w:rsidP="00E12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E0645">
              <w:rPr>
                <w:rFonts w:ascii="Times New Roman" w:hAnsi="Times New Roman" w:cs="Times New Roman"/>
                <w:bCs/>
                <w:sz w:val="24"/>
              </w:rPr>
              <w:t>HCl</w:t>
            </w:r>
          </w:p>
        </w:tc>
      </w:tr>
      <w:tr w:rsidR="006D6A66" w:rsidRPr="002E0645" w:rsidTr="006D6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6A66" w:rsidRPr="002E0645" w:rsidRDefault="006D6A66" w:rsidP="00E12DC1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E0645">
              <w:rPr>
                <w:rFonts w:ascii="Times New Roman" w:hAnsi="Times New Roman" w:cs="Times New Roman"/>
                <w:b w:val="0"/>
                <w:sz w:val="24"/>
              </w:rPr>
              <w:t>schwache Base</w:t>
            </w:r>
          </w:p>
        </w:tc>
        <w:tc>
          <w:tcPr>
            <w:tcW w:w="4531" w:type="dxa"/>
          </w:tcPr>
          <w:p w:rsidR="006D6A66" w:rsidRPr="002E0645" w:rsidRDefault="006D6A66" w:rsidP="00E12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E0645">
              <w:rPr>
                <w:rFonts w:ascii="Times New Roman" w:hAnsi="Times New Roman" w:cs="Times New Roman"/>
                <w:sz w:val="24"/>
              </w:rPr>
              <w:t>starken Säure</w:t>
            </w:r>
          </w:p>
        </w:tc>
      </w:tr>
    </w:tbl>
    <w:p w:rsidR="006D6A66" w:rsidRPr="002E0645" w:rsidRDefault="006D6A66" w:rsidP="00D52334">
      <w:pPr>
        <w:rPr>
          <w:rFonts w:ascii="Times New Roman" w:hAnsi="Times New Roman" w:cs="Times New Roman"/>
          <w:sz w:val="24"/>
        </w:rPr>
      </w:pPr>
    </w:p>
    <w:p w:rsidR="006D6A66" w:rsidRPr="002E0645" w:rsidRDefault="006D6A66" w:rsidP="00D52334">
      <w:pPr>
        <w:rPr>
          <w:rFonts w:ascii="Times New Roman" w:hAnsi="Times New Roman" w:cs="Times New Roman"/>
          <w:b/>
          <w:sz w:val="24"/>
        </w:rPr>
      </w:pPr>
      <w:r w:rsidRPr="002E0645">
        <w:rPr>
          <w:rFonts w:ascii="Times New Roman" w:hAnsi="Times New Roman" w:cs="Times New Roman"/>
          <w:b/>
          <w:sz w:val="24"/>
        </w:rPr>
        <w:t>Reaktionsgleichung:</w:t>
      </w:r>
    </w:p>
    <w:p w:rsidR="006D6A66" w:rsidRPr="002E0645" w:rsidRDefault="006D6A66" w:rsidP="00D52334">
      <w:pPr>
        <w:rPr>
          <w:rFonts w:ascii="Times New Roman" w:hAnsi="Times New Roman" w:cs="Times New Roman"/>
          <w:b/>
          <w:bCs/>
          <w:sz w:val="24"/>
        </w:rPr>
      </w:pPr>
      <w:r w:rsidRPr="002E0645">
        <w:rPr>
          <w:rFonts w:ascii="Times New Roman" w:hAnsi="Times New Roman" w:cs="Times New Roman"/>
          <w:b/>
          <w:bCs/>
          <w:sz w:val="24"/>
        </w:rPr>
        <w:t>NH</w:t>
      </w:r>
      <w:r w:rsidRPr="002E0645">
        <w:rPr>
          <w:rFonts w:ascii="Times New Roman" w:hAnsi="Times New Roman" w:cs="Times New Roman"/>
          <w:b/>
          <w:bCs/>
          <w:sz w:val="24"/>
          <w:vertAlign w:val="subscript"/>
        </w:rPr>
        <w:t>3</w:t>
      </w:r>
      <w:r w:rsidRPr="002E0645">
        <w:rPr>
          <w:rFonts w:ascii="Times New Roman" w:hAnsi="Times New Roman" w:cs="Times New Roman"/>
          <w:b/>
          <w:bCs/>
          <w:sz w:val="24"/>
        </w:rPr>
        <w:t xml:space="preserve"> + HCl → NH</w:t>
      </w:r>
      <w:r w:rsidRPr="002E0645">
        <w:rPr>
          <w:rFonts w:ascii="Times New Roman" w:hAnsi="Times New Roman" w:cs="Times New Roman"/>
          <w:b/>
          <w:bCs/>
          <w:sz w:val="24"/>
          <w:vertAlign w:val="subscript"/>
        </w:rPr>
        <w:t>4</w:t>
      </w:r>
      <w:r w:rsidRPr="002E0645">
        <w:rPr>
          <w:rFonts w:ascii="Times New Roman" w:hAnsi="Times New Roman" w:cs="Times New Roman"/>
          <w:b/>
          <w:bCs/>
          <w:sz w:val="24"/>
        </w:rPr>
        <w:t>Cl</w:t>
      </w:r>
    </w:p>
    <w:p w:rsidR="006D6A66" w:rsidRPr="002E0645" w:rsidRDefault="006D6A66" w:rsidP="00D52334">
      <w:pPr>
        <w:rPr>
          <w:rFonts w:ascii="Times New Roman" w:hAnsi="Times New Roman" w:cs="Times New Roman"/>
          <w:bCs/>
          <w:sz w:val="24"/>
        </w:rPr>
      </w:pPr>
      <w:r w:rsidRPr="002E0645">
        <w:rPr>
          <w:rFonts w:ascii="Times New Roman" w:hAnsi="Times New Roman" w:cs="Times New Roman"/>
          <w:bCs/>
          <w:sz w:val="24"/>
        </w:rPr>
        <w:t>(Aus Ammoniak und Salzsäure wird Ammoniumchlorid)</w:t>
      </w:r>
    </w:p>
    <w:p w:rsidR="006D6A66" w:rsidRPr="002E0645" w:rsidRDefault="006D6A66" w:rsidP="00D52334">
      <w:pPr>
        <w:rPr>
          <w:rFonts w:ascii="Times New Roman" w:hAnsi="Times New Roman" w:cs="Times New Roman"/>
          <w:b/>
          <w:bCs/>
          <w:sz w:val="24"/>
        </w:rPr>
      </w:pPr>
    </w:p>
    <w:p w:rsidR="002E0645" w:rsidRDefault="006D6A66" w:rsidP="00D52334">
      <w:pPr>
        <w:rPr>
          <w:rFonts w:ascii="Times New Roman" w:hAnsi="Times New Roman" w:cs="Times New Roman"/>
          <w:bCs/>
          <w:sz w:val="24"/>
        </w:rPr>
      </w:pPr>
      <w:r w:rsidRPr="002E0645">
        <w:rPr>
          <w:rFonts w:ascii="Times New Roman" w:hAnsi="Times New Roman" w:cs="Times New Roman"/>
          <w:bCs/>
          <w:sz w:val="24"/>
        </w:rPr>
        <w:t>Schwache Laugen und starke Säuren reagieren sauer, da die Stärke der Säure dominiert.</w:t>
      </w:r>
    </w:p>
    <w:p w:rsidR="005D48B8" w:rsidRPr="002E0645" w:rsidRDefault="005D48B8" w:rsidP="00D52334">
      <w:pPr>
        <w:rPr>
          <w:rFonts w:ascii="Times New Roman" w:hAnsi="Times New Roman" w:cs="Times New Roman"/>
          <w:bCs/>
          <w:sz w:val="24"/>
        </w:rPr>
      </w:pPr>
      <w:r w:rsidRPr="002E0645">
        <w:rPr>
          <w:rFonts w:ascii="Times New Roman" w:hAnsi="Times New Roman" w:cs="Times New Roman"/>
          <w:sz w:val="24"/>
        </w:rPr>
        <w:t>Ammoniumchlorid (NH4Cl) ist ein Salz und dissoziiert</w:t>
      </w:r>
      <w:r w:rsidRPr="002E0645">
        <w:rPr>
          <w:rFonts w:ascii="Times New Roman" w:hAnsi="Times New Roman" w:cs="Times New Roman"/>
          <w:sz w:val="24"/>
          <w:vertAlign w:val="superscript"/>
        </w:rPr>
        <w:t>4</w:t>
      </w:r>
      <w:r w:rsidRPr="002E0645">
        <w:rPr>
          <w:rFonts w:ascii="Times New Roman" w:hAnsi="Times New Roman" w:cs="Times New Roman"/>
          <w:sz w:val="24"/>
        </w:rPr>
        <w:t xml:space="preserve"> in wässriger Lösung vollständig in NH4+ und Cl--Ionen. Cl--Ionen sind pH-inaktiv, das NH4+-Ion ist eine schwache Säure. </w:t>
      </w:r>
    </w:p>
    <w:p w:rsidR="005D48B8" w:rsidRPr="002E0645" w:rsidRDefault="005D48B8" w:rsidP="00D52334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>Ammoniumchlorid, pKS= 9,25</w:t>
      </w: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>Daher muss man die Formel für schwache Säuren benutzen:</w:t>
      </w: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ab/>
        <w:t xml:space="preserve">Geg.: </w:t>
      </w: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  <w:t>NH</w:t>
      </w:r>
      <w:r w:rsidRPr="002E0645">
        <w:rPr>
          <w:rFonts w:ascii="Times New Roman" w:hAnsi="Times New Roman" w:cs="Times New Roman"/>
          <w:sz w:val="24"/>
          <w:vertAlign w:val="subscript"/>
        </w:rPr>
        <w:t>4</w:t>
      </w:r>
      <w:r w:rsidRPr="002E0645">
        <w:rPr>
          <w:rFonts w:ascii="Times New Roman" w:hAnsi="Times New Roman" w:cs="Times New Roman"/>
          <w:sz w:val="24"/>
          <w:vertAlign w:val="superscript"/>
        </w:rPr>
        <w:t xml:space="preserve">+ </w:t>
      </w:r>
      <w:r w:rsidRPr="002E0645">
        <w:rPr>
          <w:rFonts w:ascii="Times New Roman" w:hAnsi="Times New Roman" w:cs="Times New Roman"/>
          <w:sz w:val="24"/>
        </w:rPr>
        <w:t>pK</w:t>
      </w:r>
      <w:r w:rsidRPr="002E0645">
        <w:rPr>
          <w:rFonts w:ascii="Times New Roman" w:hAnsi="Times New Roman" w:cs="Times New Roman"/>
          <w:sz w:val="24"/>
          <w:vertAlign w:val="subscript"/>
        </w:rPr>
        <w:t>s</w:t>
      </w:r>
      <w:r w:rsidRPr="002E0645">
        <w:rPr>
          <w:rFonts w:ascii="Times New Roman" w:hAnsi="Times New Roman" w:cs="Times New Roman"/>
          <w:sz w:val="24"/>
        </w:rPr>
        <w:t>=9,25</w:t>
      </w: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</w: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ab/>
        <w:t xml:space="preserve">         </w:t>
      </w: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  <w:t>c</w:t>
      </w:r>
      <w:r w:rsidRPr="002E0645">
        <w:rPr>
          <w:rFonts w:ascii="Times New Roman" w:hAnsi="Times New Roman" w:cs="Times New Roman"/>
          <w:sz w:val="24"/>
          <w:vertAlign w:val="subscript"/>
        </w:rPr>
        <w:t>0</w:t>
      </w:r>
      <w:r w:rsidRPr="002E0645">
        <w:rPr>
          <w:rFonts w:ascii="Times New Roman" w:hAnsi="Times New Roman" w:cs="Times New Roman"/>
          <w:sz w:val="24"/>
        </w:rPr>
        <w:t>(NH</w:t>
      </w:r>
      <w:r w:rsidRPr="002E0645">
        <w:rPr>
          <w:rFonts w:ascii="Times New Roman" w:hAnsi="Times New Roman" w:cs="Times New Roman"/>
          <w:sz w:val="24"/>
          <w:vertAlign w:val="subscript"/>
        </w:rPr>
        <w:t>4</w:t>
      </w:r>
      <w:r w:rsidRPr="002E0645">
        <w:rPr>
          <w:rFonts w:ascii="Times New Roman" w:hAnsi="Times New Roman" w:cs="Times New Roman"/>
          <w:sz w:val="24"/>
          <w:vertAlign w:val="superscript"/>
        </w:rPr>
        <w:t>+</w:t>
      </w:r>
      <w:r w:rsidRPr="002E0645">
        <w:rPr>
          <w:rFonts w:ascii="Times New Roman" w:hAnsi="Times New Roman" w:cs="Times New Roman"/>
          <w:sz w:val="24"/>
        </w:rPr>
        <w:t>)= 0,1 mol/l</w:t>
      </w: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ab/>
        <w:t xml:space="preserve">Ges.: </w:t>
      </w: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  <w:t>pH-Wert</w:t>
      </w: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ab/>
        <w:t xml:space="preserve">Formel:           </w:t>
      </w:r>
      <w:r w:rsidRPr="002E0645">
        <w:rPr>
          <w:rFonts w:ascii="Times New Roman" w:hAnsi="Times New Roman" w:cs="Times New Roman"/>
          <w:sz w:val="24"/>
        </w:rPr>
        <w:tab/>
        <w:t>pH= 0,5*(pK</w:t>
      </w:r>
      <w:r w:rsidRPr="002E0645">
        <w:rPr>
          <w:rFonts w:ascii="Times New Roman" w:hAnsi="Times New Roman" w:cs="Times New Roman"/>
          <w:sz w:val="24"/>
          <w:vertAlign w:val="subscript"/>
        </w:rPr>
        <w:t>s</w:t>
      </w:r>
      <w:r w:rsidRPr="002E0645">
        <w:rPr>
          <w:rFonts w:ascii="Times New Roman" w:hAnsi="Times New Roman" w:cs="Times New Roman"/>
          <w:sz w:val="24"/>
        </w:rPr>
        <w:t>- lg c</w:t>
      </w:r>
      <w:r w:rsidRPr="002E0645">
        <w:rPr>
          <w:rFonts w:ascii="Times New Roman" w:hAnsi="Times New Roman" w:cs="Times New Roman"/>
          <w:sz w:val="24"/>
          <w:vertAlign w:val="subscript"/>
        </w:rPr>
        <w:t>0</w:t>
      </w:r>
      <w:r w:rsidRPr="002E0645">
        <w:rPr>
          <w:rFonts w:ascii="Times New Roman" w:hAnsi="Times New Roman" w:cs="Times New Roman"/>
          <w:sz w:val="24"/>
        </w:rPr>
        <w:t>(HA))</w:t>
      </w: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ab/>
        <w:t xml:space="preserve">Rechnung: </w:t>
      </w: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  <w:t>pH= 0,5*(pK</w:t>
      </w:r>
      <w:r w:rsidRPr="002E0645">
        <w:rPr>
          <w:rFonts w:ascii="Times New Roman" w:hAnsi="Times New Roman" w:cs="Times New Roman"/>
          <w:sz w:val="24"/>
          <w:vertAlign w:val="subscript"/>
        </w:rPr>
        <w:t>s</w:t>
      </w:r>
      <w:r w:rsidRPr="002E0645">
        <w:rPr>
          <w:rFonts w:ascii="Times New Roman" w:hAnsi="Times New Roman" w:cs="Times New Roman"/>
          <w:sz w:val="24"/>
        </w:rPr>
        <w:t>- lg c</w:t>
      </w:r>
      <w:r w:rsidRPr="002E0645">
        <w:rPr>
          <w:rFonts w:ascii="Times New Roman" w:hAnsi="Times New Roman" w:cs="Times New Roman"/>
          <w:sz w:val="24"/>
          <w:vertAlign w:val="subscript"/>
        </w:rPr>
        <w:t>0</w:t>
      </w:r>
      <w:r w:rsidRPr="002E0645">
        <w:rPr>
          <w:rFonts w:ascii="Times New Roman" w:hAnsi="Times New Roman" w:cs="Times New Roman"/>
          <w:sz w:val="24"/>
        </w:rPr>
        <w:t>(NH</w:t>
      </w:r>
      <w:r w:rsidRPr="002E0645">
        <w:rPr>
          <w:rFonts w:ascii="Times New Roman" w:hAnsi="Times New Roman" w:cs="Times New Roman"/>
          <w:sz w:val="24"/>
          <w:vertAlign w:val="subscript"/>
        </w:rPr>
        <w:t>4</w:t>
      </w:r>
      <w:r w:rsidRPr="002E0645">
        <w:rPr>
          <w:rFonts w:ascii="Times New Roman" w:hAnsi="Times New Roman" w:cs="Times New Roman"/>
          <w:sz w:val="24"/>
          <w:vertAlign w:val="superscript"/>
        </w:rPr>
        <w:t>+</w:t>
      </w:r>
      <w:r w:rsidRPr="002E0645">
        <w:rPr>
          <w:rFonts w:ascii="Times New Roman" w:hAnsi="Times New Roman" w:cs="Times New Roman"/>
          <w:sz w:val="24"/>
        </w:rPr>
        <w:t>))</w:t>
      </w: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  <w:t xml:space="preserve">      </w:t>
      </w: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  <w:t>pH= 0,5*( 9,25 – lg 0,1)</w:t>
      </w: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  <w:t xml:space="preserve">    </w:t>
      </w:r>
      <w:r w:rsidRPr="002E0645">
        <w:rPr>
          <w:rFonts w:ascii="Times New Roman" w:hAnsi="Times New Roman" w:cs="Times New Roman"/>
          <w:sz w:val="24"/>
        </w:rPr>
        <w:tab/>
      </w:r>
      <w:r w:rsidRPr="002E0645">
        <w:rPr>
          <w:rFonts w:ascii="Times New Roman" w:hAnsi="Times New Roman" w:cs="Times New Roman"/>
          <w:sz w:val="24"/>
        </w:rPr>
        <w:tab/>
        <w:t xml:space="preserve"> </w:t>
      </w:r>
      <w:r w:rsidRPr="002E0645">
        <w:rPr>
          <w:rFonts w:ascii="Times New Roman" w:hAnsi="Times New Roman" w:cs="Times New Roman"/>
          <w:bCs/>
          <w:sz w:val="24"/>
          <w:u w:val="single"/>
        </w:rPr>
        <w:t>pH= 5,125</w:t>
      </w: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 xml:space="preserve">Wie man oben aus der Tabelle (B1) </w:t>
      </w:r>
      <w:r w:rsidR="00D91D4A">
        <w:rPr>
          <w:rFonts w:ascii="Times New Roman" w:hAnsi="Times New Roman" w:cs="Times New Roman"/>
          <w:sz w:val="24"/>
        </w:rPr>
        <w:t xml:space="preserve">zu </w:t>
      </w:r>
      <w:bookmarkStart w:id="1" w:name="_GoBack"/>
      <w:bookmarkEnd w:id="1"/>
      <w:r w:rsidRPr="002E0645">
        <w:rPr>
          <w:rFonts w:ascii="Times New Roman" w:hAnsi="Times New Roman" w:cs="Times New Roman"/>
          <w:sz w:val="24"/>
        </w:rPr>
        <w:t>entnehmen kann könnte man entweder</w:t>
      </w:r>
    </w:p>
    <w:p w:rsidR="00D52334" w:rsidRPr="002E0645" w:rsidRDefault="00D52334" w:rsidP="00D52334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 xml:space="preserve">Methylrot </w:t>
      </w:r>
      <w:r w:rsidRPr="002E0645">
        <w:rPr>
          <w:rFonts w:ascii="Times New Roman" w:hAnsi="Times New Roman" w:cs="Times New Roman"/>
          <w:sz w:val="24"/>
        </w:rPr>
        <w:sym w:font="Wingdings" w:char="F0E0"/>
      </w:r>
      <w:r w:rsidRPr="002E0645">
        <w:rPr>
          <w:rFonts w:ascii="Times New Roman" w:hAnsi="Times New Roman" w:cs="Times New Roman"/>
        </w:rPr>
        <w:t xml:space="preserve"> </w:t>
      </w:r>
      <w:r w:rsidRPr="002E0645">
        <w:rPr>
          <w:rFonts w:ascii="Times New Roman" w:hAnsi="Times New Roman" w:cs="Times New Roman"/>
          <w:sz w:val="24"/>
        </w:rPr>
        <w:t>pH-Bereich des Farbumschlags 4,2 – 6,2</w:t>
      </w:r>
    </w:p>
    <w:p w:rsidR="00D52334" w:rsidRPr="002E0645" w:rsidRDefault="00D52334" w:rsidP="00D52334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E0645">
        <w:rPr>
          <w:rFonts w:ascii="Times New Roman" w:hAnsi="Times New Roman" w:cs="Times New Roman"/>
          <w:sz w:val="24"/>
        </w:rPr>
        <w:t xml:space="preserve">Oder Bromkresolgrün </w:t>
      </w:r>
      <w:r w:rsidRPr="002E0645">
        <w:rPr>
          <w:rFonts w:ascii="Times New Roman" w:hAnsi="Times New Roman" w:cs="Times New Roman"/>
          <w:sz w:val="24"/>
        </w:rPr>
        <w:sym w:font="Wingdings" w:char="F0E0"/>
      </w:r>
      <w:r w:rsidRPr="002E0645">
        <w:rPr>
          <w:rFonts w:ascii="Times New Roman" w:hAnsi="Times New Roman" w:cs="Times New Roman"/>
          <w:sz w:val="24"/>
        </w:rPr>
        <w:t xml:space="preserve"> pH-Bereich des Farbumschlags </w:t>
      </w:r>
      <w:r w:rsidR="002D0274" w:rsidRPr="002E0645">
        <w:rPr>
          <w:rFonts w:ascii="Times New Roman" w:hAnsi="Times New Roman" w:cs="Times New Roman"/>
          <w:sz w:val="24"/>
        </w:rPr>
        <w:t>3,8 -5,4 nehmen</w:t>
      </w:r>
    </w:p>
    <w:p w:rsidR="00D52334" w:rsidRPr="002E0645" w:rsidRDefault="00D52334" w:rsidP="00D52334">
      <w:pPr>
        <w:pStyle w:val="Listenabsatz"/>
        <w:rPr>
          <w:rFonts w:ascii="Times New Roman" w:hAnsi="Times New Roman" w:cs="Times New Roman"/>
          <w:sz w:val="24"/>
        </w:rPr>
      </w:pPr>
    </w:p>
    <w:p w:rsidR="00D52334" w:rsidRPr="002E0645" w:rsidRDefault="00D52334" w:rsidP="00D52334">
      <w:pPr>
        <w:rPr>
          <w:rFonts w:ascii="Times New Roman" w:hAnsi="Times New Roman" w:cs="Times New Roman"/>
          <w:sz w:val="24"/>
        </w:rPr>
      </w:pPr>
    </w:p>
    <w:p w:rsidR="005D48B8" w:rsidRPr="002E0645" w:rsidRDefault="005D48B8" w:rsidP="005D48B8">
      <w:pPr>
        <w:rPr>
          <w:rFonts w:ascii="Times New Roman" w:hAnsi="Times New Roman" w:cs="Times New Roman"/>
          <w:sz w:val="24"/>
        </w:rPr>
      </w:pPr>
    </w:p>
    <w:p w:rsidR="005D48B8" w:rsidRPr="002E0645" w:rsidRDefault="005D48B8" w:rsidP="005D48B8">
      <w:pPr>
        <w:rPr>
          <w:rFonts w:ascii="Times New Roman" w:hAnsi="Times New Roman" w:cs="Times New Roman"/>
          <w:sz w:val="24"/>
        </w:rPr>
      </w:pPr>
    </w:p>
    <w:p w:rsidR="005D48B8" w:rsidRPr="002E0645" w:rsidRDefault="005D48B8" w:rsidP="005D48B8">
      <w:pPr>
        <w:rPr>
          <w:rFonts w:ascii="Times New Roman" w:hAnsi="Times New Roman" w:cs="Times New Roman"/>
          <w:sz w:val="24"/>
        </w:rPr>
      </w:pPr>
    </w:p>
    <w:p w:rsidR="006D6A66" w:rsidRPr="002E0645" w:rsidRDefault="005D48B8" w:rsidP="005D48B8">
      <w:pPr>
        <w:pBdr>
          <w:top w:val="single" w:sz="4" w:space="1" w:color="auto"/>
        </w:pBdr>
        <w:rPr>
          <w:rFonts w:ascii="Times New Roman" w:hAnsi="Times New Roman" w:cs="Times New Roman"/>
          <w:sz w:val="18"/>
        </w:rPr>
      </w:pPr>
      <w:r w:rsidRPr="002E0645">
        <w:rPr>
          <w:rFonts w:ascii="Times New Roman" w:hAnsi="Times New Roman" w:cs="Times New Roman"/>
          <w:sz w:val="24"/>
          <w:vertAlign w:val="superscript"/>
        </w:rPr>
        <w:t>4</w:t>
      </w:r>
      <w:r w:rsidRPr="002E0645">
        <w:rPr>
          <w:rFonts w:ascii="Times New Roman" w:hAnsi="Times New Roman" w:cs="Times New Roman"/>
          <w:sz w:val="16"/>
        </w:rPr>
        <w:t xml:space="preserve"> </w:t>
      </w:r>
      <w:hyperlink r:id="rId20" w:history="1">
        <w:r w:rsidRPr="002E0645">
          <w:rPr>
            <w:rStyle w:val="Hyperlink"/>
            <w:rFonts w:ascii="Times New Roman" w:hAnsi="Times New Roman" w:cs="Times New Roman"/>
            <w:color w:val="auto"/>
            <w:sz w:val="18"/>
            <w:u w:val="none"/>
          </w:rPr>
          <w:t>http://www.uni-saarland.de/fak8/hegetschweiler/Daten/Vorlesungen/Uebungen/Meidziner/Uebung7.pdf</w:t>
        </w:r>
      </w:hyperlink>
      <w:r w:rsidRPr="002E0645">
        <w:rPr>
          <w:rFonts w:ascii="Times New Roman" w:hAnsi="Times New Roman" w:cs="Times New Roman"/>
          <w:sz w:val="18"/>
        </w:rPr>
        <w:t xml:space="preserve"> abgerufen am 17.04.2016</w:t>
      </w:r>
    </w:p>
    <w:sectPr w:rsidR="006D6A66" w:rsidRPr="002E0645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58" w:rsidRDefault="00EF7958" w:rsidP="00681F16">
      <w:pPr>
        <w:spacing w:after="0" w:line="240" w:lineRule="auto"/>
      </w:pPr>
      <w:r>
        <w:separator/>
      </w:r>
    </w:p>
  </w:endnote>
  <w:endnote w:type="continuationSeparator" w:id="0">
    <w:p w:rsidR="00EF7958" w:rsidRDefault="00EF7958" w:rsidP="0068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58" w:rsidRDefault="00EF7958" w:rsidP="00681F16">
      <w:pPr>
        <w:spacing w:after="0" w:line="240" w:lineRule="auto"/>
      </w:pPr>
      <w:r>
        <w:separator/>
      </w:r>
    </w:p>
  </w:footnote>
  <w:footnote w:type="continuationSeparator" w:id="0">
    <w:p w:rsidR="00EF7958" w:rsidRDefault="00EF7958" w:rsidP="0068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16" w:rsidRPr="002348CB" w:rsidRDefault="00681F16" w:rsidP="00681F16">
    <w:pPr>
      <w:pStyle w:val="Kopfzeile"/>
      <w:tabs>
        <w:tab w:val="clear" w:pos="9072"/>
      </w:tabs>
      <w:rPr>
        <w:rFonts w:ascii="Times New Roman" w:hAnsi="Times New Roman" w:cs="Times New Roman"/>
        <w:sz w:val="28"/>
      </w:rPr>
    </w:pPr>
    <w:r w:rsidRPr="002348CB">
      <w:rPr>
        <w:rFonts w:ascii="Times New Roman" w:hAnsi="Times New Roman" w:cs="Times New Roman"/>
      </w:rPr>
      <w:t>Sanja Drope</w:t>
    </w:r>
    <w:r w:rsidRPr="002348CB">
      <w:rPr>
        <w:rFonts w:ascii="Times New Roman" w:hAnsi="Times New Roman" w:cs="Times New Roman"/>
      </w:rPr>
      <w:tab/>
    </w:r>
    <w:r w:rsidRPr="002348CB">
      <w:rPr>
        <w:rFonts w:ascii="Times New Roman" w:hAnsi="Times New Roman" w:cs="Times New Roman"/>
        <w:sz w:val="28"/>
      </w:rPr>
      <w:t>Buch Seite 218 Aufgabe 1</w:t>
    </w:r>
  </w:p>
  <w:p w:rsidR="00681F16" w:rsidRPr="002348CB" w:rsidRDefault="00681F16" w:rsidP="00681F16">
    <w:pPr>
      <w:pStyle w:val="Kopfzeile"/>
      <w:tabs>
        <w:tab w:val="clear" w:pos="4536"/>
      </w:tabs>
      <w:rPr>
        <w:rFonts w:ascii="Times New Roman" w:hAnsi="Times New Roman" w:cs="Times New Roman"/>
      </w:rPr>
    </w:pPr>
    <w:r w:rsidRPr="002348CB">
      <w:rPr>
        <w:rFonts w:ascii="Times New Roman" w:hAnsi="Times New Roman" w:cs="Times New Roman"/>
      </w:rPr>
      <w:t>Wg 12a</w:t>
    </w:r>
    <w:r w:rsidRPr="002348CB">
      <w:rPr>
        <w:rFonts w:ascii="Times New Roman" w:hAnsi="Times New Roman" w:cs="Times New Roman"/>
      </w:rPr>
      <w:tab/>
      <w:t>18.04.2016</w:t>
    </w:r>
  </w:p>
  <w:p w:rsidR="00681F16" w:rsidRPr="002348CB" w:rsidRDefault="00681F16">
    <w:pPr>
      <w:pStyle w:val="Kopfzeile"/>
      <w:rPr>
        <w:rFonts w:ascii="Times New Roman" w:hAnsi="Times New Roman" w:cs="Times New Roman"/>
      </w:rPr>
    </w:pPr>
    <w:r w:rsidRPr="002348CB">
      <w:rPr>
        <w:rFonts w:ascii="Times New Roman" w:hAnsi="Times New Roman" w:cs="Times New Roman"/>
      </w:rPr>
      <w:t>Chemie</w:t>
    </w:r>
  </w:p>
  <w:p w:rsidR="00681F16" w:rsidRPr="002348CB" w:rsidRDefault="00681F16" w:rsidP="00681F16">
    <w:pPr>
      <w:pStyle w:val="Kopfzeil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356"/>
    <w:multiLevelType w:val="hybridMultilevel"/>
    <w:tmpl w:val="5CBAC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182E"/>
    <w:multiLevelType w:val="hybridMultilevel"/>
    <w:tmpl w:val="9A181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003B"/>
    <w:multiLevelType w:val="hybridMultilevel"/>
    <w:tmpl w:val="F3405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16"/>
    <w:rsid w:val="000B0099"/>
    <w:rsid w:val="002348CB"/>
    <w:rsid w:val="002D0274"/>
    <w:rsid w:val="002E0645"/>
    <w:rsid w:val="005D48B8"/>
    <w:rsid w:val="005E2A31"/>
    <w:rsid w:val="00681F16"/>
    <w:rsid w:val="006D6A66"/>
    <w:rsid w:val="007A7E27"/>
    <w:rsid w:val="007D5718"/>
    <w:rsid w:val="008B0562"/>
    <w:rsid w:val="009B6417"/>
    <w:rsid w:val="00A5662A"/>
    <w:rsid w:val="00BD4E75"/>
    <w:rsid w:val="00D52334"/>
    <w:rsid w:val="00D91D4A"/>
    <w:rsid w:val="00D95E18"/>
    <w:rsid w:val="00E12DC1"/>
    <w:rsid w:val="00E27939"/>
    <w:rsid w:val="00E50165"/>
    <w:rsid w:val="00EF7958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F06E9"/>
  <w15:chartTrackingRefBased/>
  <w15:docId w15:val="{36AEB687-B38D-42AB-939E-6630D6B9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B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F16"/>
  </w:style>
  <w:style w:type="paragraph" w:styleId="Fuzeile">
    <w:name w:val="footer"/>
    <w:basedOn w:val="Standard"/>
    <w:link w:val="FuzeileZchn"/>
    <w:uiPriority w:val="99"/>
    <w:unhideWhenUsed/>
    <w:rsid w:val="0068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F16"/>
  </w:style>
  <w:style w:type="table" w:styleId="Gitternetztabelle5dunkelAkzent1">
    <w:name w:val="Grid Table 5 Dark Accent 1"/>
    <w:basedOn w:val="NormaleTabelle"/>
    <w:uiPriority w:val="50"/>
    <w:rsid w:val="00681F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enraster">
    <w:name w:val="Table Grid"/>
    <w:basedOn w:val="NormaleTabelle"/>
    <w:uiPriority w:val="39"/>
    <w:rsid w:val="0023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348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348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1">
    <w:name w:val="Grid Table 2 Accent 1"/>
    <w:basedOn w:val="NormaleTabelle"/>
    <w:uiPriority w:val="47"/>
    <w:rsid w:val="002348C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8B0562"/>
    <w:rPr>
      <w:color w:val="0563C1" w:themeColor="hyperlink"/>
      <w:u w:val="single"/>
    </w:rPr>
  </w:style>
  <w:style w:type="table" w:styleId="Gitternetztabelle4Akzent1">
    <w:name w:val="Grid Table 4 Accent 1"/>
    <w:basedOn w:val="NormaleTabelle"/>
    <w:uiPriority w:val="49"/>
    <w:rsid w:val="00D95E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0B0099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009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7D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wikipedia.org/wiki/S%C3%A4ure-Base-Titration" TargetMode="External"/><Relationship Id="rId18" Type="http://schemas.openxmlformats.org/officeDocument/2006/relationships/hyperlink" Target="https://de.wikipedia.org/wiki/%C3%84quivalenzpunk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seilnacht.com/Chemie/ch_kohl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Ammoniakwasser" TargetMode="External"/><Relationship Id="rId20" Type="http://schemas.openxmlformats.org/officeDocument/2006/relationships/hyperlink" Target="http://www.uni-saarland.de/fak8/hegetschweiler/Daten/Vorlesungen/Uebungen/Meidziner/Uebung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cup.uni-muenchen.de/puchinger/glossar/glossarB3_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.wikipedia.org/wiki/Stoffmen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C2A0-1041-460B-BDA2-39C9E329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Drope</dc:creator>
  <cp:keywords/>
  <dc:description/>
  <cp:lastModifiedBy>Sanja Drope</cp:lastModifiedBy>
  <cp:revision>2</cp:revision>
  <dcterms:created xsi:type="dcterms:W3CDTF">2016-04-17T19:20:00Z</dcterms:created>
  <dcterms:modified xsi:type="dcterms:W3CDTF">2016-04-17T19:20:00Z</dcterms:modified>
</cp:coreProperties>
</file>